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BE" w:rsidRPr="00046082" w:rsidRDefault="00B166BE" w:rsidP="00CD49D1">
      <w:pPr>
        <w:spacing w:after="0" w:line="240" w:lineRule="auto"/>
        <w:contextualSpacing/>
        <w:jc w:val="both"/>
        <w:rPr>
          <w:rFonts w:ascii="Times New Roman" w:hAnsi="Times New Roman"/>
          <w:sz w:val="28"/>
          <w:szCs w:val="28"/>
        </w:rPr>
      </w:pPr>
    </w:p>
    <w:p w:rsidR="006F3F37" w:rsidRDefault="006F3F37" w:rsidP="00B616D0">
      <w:pPr>
        <w:spacing w:after="0" w:line="240" w:lineRule="auto"/>
        <w:contextualSpacing/>
        <w:jc w:val="both"/>
        <w:rPr>
          <w:rFonts w:ascii="Times New Roman" w:hAnsi="Times New Roman"/>
          <w:sz w:val="28"/>
          <w:szCs w:val="28"/>
        </w:rPr>
      </w:pPr>
      <w:bookmarkStart w:id="0" w:name="_GoBack"/>
      <w:bookmarkEnd w:id="0"/>
    </w:p>
    <w:p w:rsidR="006F3F37" w:rsidRDefault="006F3F37" w:rsidP="00B616D0">
      <w:pPr>
        <w:spacing w:after="0" w:line="240" w:lineRule="auto"/>
        <w:contextualSpacing/>
        <w:jc w:val="both"/>
        <w:rPr>
          <w:rFonts w:ascii="Times New Roman" w:hAnsi="Times New Roman"/>
          <w:sz w:val="28"/>
          <w:szCs w:val="28"/>
        </w:rPr>
      </w:pPr>
    </w:p>
    <w:p w:rsidR="006F3F37" w:rsidRDefault="006F3F37" w:rsidP="00B616D0">
      <w:pPr>
        <w:spacing w:after="0" w:line="240" w:lineRule="auto"/>
        <w:contextualSpacing/>
        <w:jc w:val="both"/>
        <w:rPr>
          <w:rFonts w:ascii="Times New Roman" w:hAnsi="Times New Roman"/>
          <w:sz w:val="28"/>
          <w:szCs w:val="28"/>
        </w:rPr>
      </w:pPr>
    </w:p>
    <w:p w:rsidR="006F3F37" w:rsidRDefault="006F3F37" w:rsidP="00B616D0">
      <w:pPr>
        <w:spacing w:after="0" w:line="240" w:lineRule="auto"/>
        <w:contextualSpacing/>
        <w:jc w:val="both"/>
        <w:rPr>
          <w:rFonts w:ascii="Times New Roman" w:hAnsi="Times New Roman"/>
          <w:sz w:val="28"/>
          <w:szCs w:val="28"/>
        </w:rPr>
      </w:pPr>
    </w:p>
    <w:p w:rsidR="006F3F37" w:rsidRDefault="006F3F37" w:rsidP="00B616D0">
      <w:pPr>
        <w:spacing w:after="0" w:line="240" w:lineRule="auto"/>
        <w:contextualSpacing/>
        <w:jc w:val="both"/>
        <w:rPr>
          <w:rFonts w:ascii="Times New Roman" w:hAnsi="Times New Roman"/>
          <w:sz w:val="28"/>
          <w:szCs w:val="28"/>
        </w:rPr>
      </w:pPr>
    </w:p>
    <w:p w:rsidR="006F3F37" w:rsidRDefault="006F3F37" w:rsidP="00B616D0">
      <w:pPr>
        <w:spacing w:after="0" w:line="240" w:lineRule="auto"/>
        <w:contextualSpacing/>
        <w:jc w:val="both"/>
        <w:rPr>
          <w:rFonts w:ascii="Times New Roman" w:hAnsi="Times New Roman"/>
          <w:sz w:val="28"/>
          <w:szCs w:val="28"/>
        </w:rPr>
      </w:pPr>
    </w:p>
    <w:p w:rsidR="006F3F37" w:rsidRPr="00046082" w:rsidRDefault="006F3F37" w:rsidP="00B616D0">
      <w:pPr>
        <w:spacing w:after="0" w:line="240" w:lineRule="auto"/>
        <w:contextualSpacing/>
        <w:jc w:val="both"/>
        <w:rPr>
          <w:rFonts w:ascii="Times New Roman" w:hAnsi="Times New Roman"/>
          <w:sz w:val="28"/>
          <w:szCs w:val="28"/>
        </w:rPr>
      </w:pPr>
    </w:p>
    <w:p w:rsidR="007E564F" w:rsidRDefault="00F703DF" w:rsidP="007E564F">
      <w:pPr>
        <w:pStyle w:val="ConsPlusNormal"/>
        <w:contextualSpacing/>
        <w:jc w:val="center"/>
        <w:rPr>
          <w:bCs/>
          <w:sz w:val="28"/>
          <w:szCs w:val="28"/>
        </w:rPr>
      </w:pPr>
      <w:r w:rsidRPr="00046082">
        <w:rPr>
          <w:sz w:val="28"/>
          <w:szCs w:val="28"/>
        </w:rPr>
        <w:tab/>
      </w:r>
      <w:r w:rsidR="007E564F" w:rsidRPr="00E309D4">
        <w:rPr>
          <w:bCs/>
          <w:sz w:val="28"/>
          <w:szCs w:val="28"/>
        </w:rPr>
        <w:t>Дополнительные услуги оператора сотовой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xml:space="preserve">. "б" п. 37 Правил, утв. Постановлением Правительства РФ от 31.12.2021 N 2606; </w:t>
      </w:r>
      <w:proofErr w:type="spellStart"/>
      <w:r w:rsidRPr="00E309D4">
        <w:rPr>
          <w:sz w:val="28"/>
          <w:szCs w:val="28"/>
        </w:rPr>
        <w:t>пп</w:t>
      </w:r>
      <w:proofErr w:type="spellEnd"/>
      <w:r w:rsidRPr="00E309D4">
        <w:rPr>
          <w:sz w:val="28"/>
          <w:szCs w:val="28"/>
        </w:rPr>
        <w:t>. "а" п. 36 Правил, утв. Постановлением Правительства РФ от 31.12.2021 N 2607).</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требование об отключении дополнительной услуги и о пересчете суммы </w:t>
      </w:r>
      <w:r w:rsidRPr="00E309D4">
        <w:rPr>
          <w:sz w:val="28"/>
          <w:szCs w:val="28"/>
        </w:rPr>
        <w:lastRenderedPageBreak/>
        <w:t>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Претензию необходимо вручить или отправить оператору связи не позднее шести месяцев с даты выставления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претензии о ее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w:t>
      </w:r>
      <w:r w:rsidRPr="00E309D4">
        <w:rPr>
          <w:sz w:val="28"/>
          <w:szCs w:val="28"/>
        </w:rPr>
        <w:lastRenderedPageBreak/>
        <w:t>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По данному иску потребитель услуг связи освобождены от уплаты госпошлины, если цена иска не превышает 1 млн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E309D4">
        <w:rPr>
          <w:sz w:val="28"/>
          <w:szCs w:val="28"/>
        </w:rPr>
        <w:t>пп</w:t>
      </w:r>
      <w:proofErr w:type="spellEnd"/>
      <w:r w:rsidRPr="00E309D4">
        <w:rPr>
          <w:sz w:val="28"/>
          <w:szCs w:val="28"/>
        </w:rPr>
        <w:t>. 4 п. 2 и п. 3 ст. 333.36 НК РФ; п. 3 ст. 17 Закона N 2300-1).</w:t>
      </w:r>
      <w:r w:rsidR="006F3F37">
        <w:rPr>
          <w:sz w:val="28"/>
          <w:szCs w:val="28"/>
        </w:rPr>
        <w:t xml:space="preserve"> </w:t>
      </w: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r w:rsidR="006F3F37">
        <w:rPr>
          <w:sz w:val="28"/>
          <w:szCs w:val="28"/>
        </w:rPr>
        <w:t xml:space="preserve"> </w:t>
      </w:r>
      <w:r>
        <w:rPr>
          <w:sz w:val="28"/>
          <w:szCs w:val="28"/>
        </w:rPr>
        <w:tab/>
      </w:r>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 п. 1 Обзора, утв. Президиумом Верховного Суда РФ 14.10.2020).</w:t>
      </w:r>
    </w:p>
    <w:p w:rsidR="007E564F" w:rsidRDefault="007E564F" w:rsidP="007E564F">
      <w:pPr>
        <w:pStyle w:val="ConsPlusNormal"/>
        <w:contextualSpacing/>
        <w:jc w:val="both"/>
        <w:rPr>
          <w:sz w:val="28"/>
          <w:szCs w:val="28"/>
        </w:rPr>
      </w:pPr>
      <w:r>
        <w:rPr>
          <w:sz w:val="28"/>
          <w:szCs w:val="28"/>
        </w:rPr>
        <w:lastRenderedPageBreak/>
        <w:tab/>
      </w:r>
      <w:r w:rsidRPr="00E309D4">
        <w:rPr>
          <w:sz w:val="28"/>
          <w:szCs w:val="28"/>
        </w:rP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(ч. 1 ст. 154 ГПК РФ).</w:t>
      </w:r>
    </w:p>
    <w:p w:rsidR="007E564F" w:rsidRDefault="007E564F" w:rsidP="007E564F">
      <w:pPr>
        <w:pStyle w:val="ConsPlusNormal"/>
        <w:contextualSpacing/>
        <w:jc w:val="both"/>
        <w:rPr>
          <w:sz w:val="28"/>
          <w:szCs w:val="28"/>
        </w:rPr>
      </w:pPr>
    </w:p>
    <w:p w:rsidR="007E564F" w:rsidRDefault="006F3F37" w:rsidP="007E564F">
      <w:pPr>
        <w:pStyle w:val="ConsPlusNormal"/>
        <w:contextualSpacing/>
        <w:jc w:val="both"/>
        <w:rPr>
          <w:sz w:val="28"/>
          <w:szCs w:val="28"/>
        </w:rPr>
      </w:pPr>
      <w:r>
        <w:rPr>
          <w:sz w:val="28"/>
          <w:szCs w:val="28"/>
        </w:rPr>
        <w:t>Панафидин С.Д.</w:t>
      </w:r>
    </w:p>
    <w:p w:rsidR="007E564F" w:rsidRDefault="007E564F" w:rsidP="007E564F">
      <w:pPr>
        <w:pStyle w:val="ConsPlusNormal"/>
        <w:contextualSpacing/>
        <w:jc w:val="center"/>
        <w:rPr>
          <w:bCs/>
          <w:sz w:val="28"/>
          <w:szCs w:val="28"/>
        </w:rPr>
      </w:pPr>
      <w:r w:rsidRPr="009513DE">
        <w:rPr>
          <w:bCs/>
          <w:sz w:val="28"/>
          <w:szCs w:val="28"/>
        </w:rPr>
        <w:t>Защита чести и достоинства гражданина при распространении в СМИ недостоверной информации</w:t>
      </w:r>
    </w:p>
    <w:p w:rsidR="007E564F" w:rsidRPr="009513DE" w:rsidRDefault="007E564F" w:rsidP="007E564F">
      <w:pPr>
        <w:pStyle w:val="ConsPlusNormal"/>
        <w:contextualSpacing/>
        <w:jc w:val="center"/>
        <w:rPr>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вправе обратиться, в частности, с требованием об опровержении недостоверных сведений, порочащих вашу честь и достоинство, непосредственно в редакцию соответствующего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w:t>
      </w:r>
      <w:r w:rsidRPr="009513DE">
        <w:rPr>
          <w:sz w:val="28"/>
          <w:szCs w:val="28"/>
        </w:rPr>
        <w:lastRenderedPageBreak/>
        <w:t>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1" w:name="Par19"/>
      <w:bookmarkEnd w:id="1"/>
      <w:r>
        <w:rPr>
          <w:sz w:val="28"/>
          <w:szCs w:val="28"/>
        </w:rPr>
        <w:tab/>
      </w:r>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lastRenderedPageBreak/>
        <w:t>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довести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2" w:name="Par50"/>
      <w:bookmarkEnd w:id="2"/>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3" w:name="Par60"/>
      <w:bookmarkEnd w:id="3"/>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Доказать соответствие распространенных сведений действительности </w:t>
      </w:r>
      <w:r w:rsidRPr="009513DE">
        <w:rPr>
          <w:sz w:val="28"/>
          <w:szCs w:val="28"/>
        </w:rPr>
        <w:lastRenderedPageBreak/>
        <w:t>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действительности порочащие сведения, содержат признаки </w:t>
      </w:r>
      <w:r w:rsidRPr="009513DE">
        <w:rPr>
          <w:sz w:val="28"/>
          <w:szCs w:val="28"/>
        </w:rPr>
        <w:lastRenderedPageBreak/>
        <w:t xml:space="preserve">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sidRPr="006F3F37">
        <w:rPr>
          <w:sz w:val="28"/>
          <w:szCs w:val="28"/>
        </w:rPr>
        <w:t xml:space="preserve"> </w:t>
      </w:r>
      <w:r>
        <w:rPr>
          <w:sz w:val="28"/>
          <w:szCs w:val="28"/>
        </w:rPr>
        <w:t>Панафидин С.Д.</w:t>
      </w:r>
    </w:p>
    <w:p w:rsidR="007E564F" w:rsidRDefault="007E564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9513DE" w:rsidRDefault="00DA6BEF" w:rsidP="007E564F">
      <w:pPr>
        <w:pStyle w:val="ConsPlusNormal"/>
        <w:contextualSpacing/>
        <w:jc w:val="both"/>
        <w:rPr>
          <w:sz w:val="28"/>
          <w:szCs w:val="28"/>
        </w:rPr>
      </w:pPr>
    </w:p>
    <w:p w:rsidR="007E564F" w:rsidRPr="00340758" w:rsidRDefault="007E564F" w:rsidP="007E564F">
      <w:pPr>
        <w:pStyle w:val="ConsPlusNormal"/>
        <w:contextualSpacing/>
        <w:jc w:val="center"/>
        <w:rPr>
          <w:sz w:val="28"/>
          <w:szCs w:val="28"/>
        </w:rPr>
      </w:pPr>
      <w:r>
        <w:rPr>
          <w:sz w:val="28"/>
          <w:szCs w:val="28"/>
        </w:rPr>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4" w:name="Par11"/>
      <w:bookmarkEnd w:id="4"/>
      <w:r>
        <w:rPr>
          <w:sz w:val="28"/>
          <w:szCs w:val="28"/>
        </w:rPr>
        <w:tab/>
      </w:r>
      <w:r w:rsidRPr="00340758">
        <w:rPr>
          <w:sz w:val="28"/>
          <w:szCs w:val="28"/>
        </w:rPr>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 ст. 79 ЗК РФ).</w:t>
      </w:r>
    </w:p>
    <w:p w:rsidR="007E564F" w:rsidRPr="00340758" w:rsidRDefault="007E564F" w:rsidP="007E564F">
      <w:pPr>
        <w:pStyle w:val="ConsPlusNormal"/>
        <w:contextualSpacing/>
        <w:jc w:val="both"/>
        <w:rPr>
          <w:sz w:val="28"/>
          <w:szCs w:val="28"/>
        </w:rPr>
      </w:pPr>
      <w:bookmarkStart w:id="5" w:name="Par17"/>
      <w:bookmarkEnd w:id="5"/>
      <w:r>
        <w:rPr>
          <w:sz w:val="28"/>
          <w:szCs w:val="28"/>
        </w:rPr>
        <w:tab/>
      </w:r>
      <w:r w:rsidRPr="00340758">
        <w:rPr>
          <w:sz w:val="28"/>
          <w:szCs w:val="28"/>
        </w:rPr>
        <w:t>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t xml:space="preserve">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w:t>
      </w:r>
      <w:r w:rsidRPr="00340758">
        <w:rPr>
          <w:sz w:val="28"/>
          <w:szCs w:val="28"/>
        </w:rPr>
        <w:lastRenderedPageBreak/>
        <w:t>ответственности;</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340758" w:rsidRDefault="00DA6BEF" w:rsidP="007E564F">
      <w:pPr>
        <w:pStyle w:val="ConsPlusNormal"/>
        <w:contextualSpacing/>
        <w:jc w:val="both"/>
        <w:rPr>
          <w:sz w:val="28"/>
          <w:szCs w:val="28"/>
        </w:rPr>
      </w:pPr>
    </w:p>
    <w:p w:rsidR="007E564F" w:rsidRPr="004F0399" w:rsidRDefault="007E564F" w:rsidP="007E564F">
      <w:pPr>
        <w:pStyle w:val="ConsPlusNormal"/>
        <w:contextualSpacing/>
        <w:jc w:val="center"/>
        <w:rPr>
          <w:sz w:val="28"/>
          <w:szCs w:val="28"/>
        </w:rPr>
      </w:pPr>
      <w:r w:rsidRPr="004F0399">
        <w:rPr>
          <w:bCs/>
          <w:sz w:val="28"/>
          <w:szCs w:val="28"/>
        </w:rPr>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то оно может быть квалифицировано как дискриминация в сфере труда (ч. 2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заключении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заключении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наложении дисциплинарного взыскания без учета тяжести совершенного проступка и обстоятельств, при которых он был совершен, </w:t>
      </w:r>
      <w:r w:rsidRPr="004F0399">
        <w:rPr>
          <w:sz w:val="28"/>
          <w:szCs w:val="28"/>
        </w:rPr>
        <w:lastRenderedPageBreak/>
        <w:t>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работодателю-ИП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накладывается штраф (ст. 4.6, ч. 2 ст. 5.27 КоАП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работодателя-ИП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w:t>
      </w:r>
      <w:r w:rsidRPr="004F0399">
        <w:rPr>
          <w:sz w:val="28"/>
          <w:szCs w:val="28"/>
        </w:rPr>
        <w:lastRenderedPageBreak/>
        <w:t>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(ч. 1 ст. 353, ч. 1 ст. 354 ТК РФ; 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Работник, столкнувшийся с дискриминацией, вправе обратиться с заявлением (жалобой) о нарушении законодательства в прокуратуру. 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 ч. 1 ст. 28.4 КоАП РФ; ч. 3, 5 ст. 20, ч. 1 ст. 21, ч. 2, 3 ст. 37 УПК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Факт наличия (отсутствия) предвзятого отношения устанавливается с учетом всех обстоятельств дела, подтвержденных соответствующими </w:t>
      </w:r>
      <w:r w:rsidRPr="004F0399">
        <w:rPr>
          <w:sz w:val="28"/>
          <w:szCs w:val="28"/>
        </w:rPr>
        <w:lastRenderedPageBreak/>
        <w:t>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4F0399" w:rsidRDefault="00DA6BEF" w:rsidP="007E564F">
      <w:pPr>
        <w:pStyle w:val="ConsPlusNormal"/>
        <w:contextualSpacing/>
        <w:jc w:val="both"/>
        <w:rPr>
          <w:sz w:val="28"/>
          <w:szCs w:val="28"/>
        </w:rPr>
      </w:pPr>
    </w:p>
    <w:p w:rsidR="007E564F" w:rsidRPr="0028291C" w:rsidRDefault="007E564F" w:rsidP="007E564F">
      <w:pPr>
        <w:pStyle w:val="ConsPlusNormal"/>
        <w:contextualSpacing/>
        <w:jc w:val="center"/>
        <w:rPr>
          <w:sz w:val="28"/>
          <w:szCs w:val="28"/>
        </w:rPr>
      </w:pPr>
      <w:r>
        <w:rPr>
          <w:sz w:val="28"/>
          <w:szCs w:val="28"/>
        </w:rPr>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r w:rsidRPr="0028291C">
        <w:rPr>
          <w:sz w:val="28"/>
          <w:szCs w:val="28"/>
        </w:rPr>
        <w:t>имеющими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r w:rsidRPr="0028291C">
        <w:rPr>
          <w:sz w:val="28"/>
          <w:szCs w:val="28"/>
        </w:rPr>
        <w:lastRenderedPageBreak/>
        <w:t xml:space="preserve">совершившими преступления небольшой или средней степени тяжести (за исключением некоторых преступлений, </w:t>
      </w:r>
      <w:proofErr w:type="gramStart"/>
      <w:r w:rsidRPr="0028291C">
        <w:rPr>
          <w:sz w:val="28"/>
          <w:szCs w:val="28"/>
        </w:rPr>
        <w:t>например</w:t>
      </w:r>
      <w:proofErr w:type="gramEnd"/>
      <w:r w:rsidRPr="0028291C">
        <w:rPr>
          <w:sz w:val="28"/>
          <w:szCs w:val="28"/>
        </w:rPr>
        <w:t xml:space="preserve">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r w:rsidRPr="0028291C">
        <w:rPr>
          <w:sz w:val="28"/>
          <w:szCs w:val="28"/>
        </w:rPr>
        <w:t>отбывшими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t xml:space="preserve">обязанность гражданина (иностранного гражданина) проходить военную </w:t>
      </w:r>
      <w:r w:rsidRPr="0028291C">
        <w:rPr>
          <w:sz w:val="28"/>
          <w:szCs w:val="28"/>
        </w:rPr>
        <w:lastRenderedPageBreak/>
        <w:t>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Дополнительные условия контракта могут быть установлены в зависимости от места прохождения военной службы по контракту. 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В период прохождения военной службы по контракту военнослужащие имеют право в установленных случаях на вступление в жилищно-строительные (жилищные) кооперативы либо на получение ими земельных </w:t>
      </w:r>
      <w:r w:rsidRPr="0028291C">
        <w:rPr>
          <w:sz w:val="28"/>
          <w:szCs w:val="28"/>
        </w:rPr>
        <w:lastRenderedPageBreak/>
        <w:t>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 1 ст. 15.2, п. 1 ст. 15.3 Закона от 27.05.1998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 служба, за плату в размере полной стоимости путевки. Указанным военнослужащим и членам их семей при направлении в санатории на медицинскую реабилитацию в соответствии с заключением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Pr="0028291C" w:rsidRDefault="00303369" w:rsidP="007E564F">
      <w:pPr>
        <w:pStyle w:val="ConsPlusNormal"/>
        <w:contextualSpacing/>
        <w:jc w:val="both"/>
        <w:rPr>
          <w:sz w:val="28"/>
          <w:szCs w:val="28"/>
        </w:rPr>
      </w:pPr>
    </w:p>
    <w:p w:rsidR="007E564F" w:rsidRPr="00262BE5" w:rsidRDefault="007E564F" w:rsidP="007E564F">
      <w:pPr>
        <w:pStyle w:val="ConsPlusNormal"/>
        <w:contextualSpacing/>
        <w:jc w:val="center"/>
        <w:rPr>
          <w:sz w:val="28"/>
          <w:szCs w:val="28"/>
        </w:rPr>
      </w:pPr>
      <w:r w:rsidRPr="00262BE5">
        <w:rPr>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отопления, состоящая из стояков, обогревающих элементов, регулирующей и запорной арматуры, </w:t>
      </w:r>
      <w:r w:rsidRPr="00262BE5">
        <w:rPr>
          <w:sz w:val="28"/>
          <w:szCs w:val="28"/>
        </w:rPr>
        <w:lastRenderedPageBreak/>
        <w:t>коллективных (общедомовых)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lastRenderedPageBreak/>
        <w:t>сантехнического оборудования, находящегося в квартире (смесителей, кранов, ванн, раковин, унитазов, водонагревателей и тому подобного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домофонов, находящихся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иного оборудования и имущества, не относящихся к общедомовому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F3F37" w:rsidRDefault="006F3F37"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391A9B" w:rsidRDefault="006E73DB" w:rsidP="006E73DB">
      <w:pPr>
        <w:pStyle w:val="ConsPlusNormal"/>
        <w:contextualSpacing/>
        <w:jc w:val="center"/>
        <w:rPr>
          <w:sz w:val="28"/>
          <w:szCs w:val="28"/>
        </w:rPr>
      </w:pPr>
      <w:r w:rsidRPr="00391A9B">
        <w:rPr>
          <w:bCs/>
          <w:sz w:val="28"/>
          <w:szCs w:val="28"/>
        </w:rPr>
        <w:t>Ответственность за совершение врачебной ошибки</w:t>
      </w:r>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 п. 1 ст. 1064, п. 1 ст. 1068, п. 1 ст. 1085, ст. 1099 ГК РФ; п. 9 ч. 5 ст. 19, ч. 2, 3 ст. 98 Закона N 323-ФЗ).</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w:t>
      </w:r>
      <w:r w:rsidRPr="00391A9B">
        <w:rPr>
          <w:sz w:val="28"/>
          <w:szCs w:val="28"/>
        </w:rPr>
        <w:lastRenderedPageBreak/>
        <w:t>получали или имели право получать на свое содержание при его жизни (ст. 1088, п. 1 ст. 1089 ГК РФ).</w:t>
      </w:r>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w:t>
      </w:r>
      <w:r w:rsidRPr="00391A9B">
        <w:rPr>
          <w:sz w:val="28"/>
          <w:szCs w:val="28"/>
        </w:rPr>
        <w:lastRenderedPageBreak/>
        <w:t>Требований, утв. Приказом Минздрава России от 31.07.2020 N 785н; п. 2 Приложения к Приказу Минздрава России от 31.07.2020 N 787н).</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Кроме того, возможно обращение с соответствующими требованиями, например, в Росздравнадзор, в </w:t>
      </w:r>
      <w:proofErr w:type="spellStart"/>
      <w:r w:rsidRPr="00391A9B">
        <w:rPr>
          <w:sz w:val="28"/>
          <w:szCs w:val="28"/>
        </w:rPr>
        <w:t>Роспотребнадзор</w:t>
      </w:r>
      <w:proofErr w:type="spellEnd"/>
      <w:r w:rsidRPr="00391A9B">
        <w:rPr>
          <w:sz w:val="28"/>
          <w:szCs w:val="28"/>
        </w:rPr>
        <w:t xml:space="preserve">, а также в суд (ст. ст. 23.49, 23.81 КоАП РФ; ч. 1 ст. 3, п. 1 ч. 1 ст. 22 ГПК РФ; ст. 85, ч. 2 ст. 86, ч. 1, п. 1 ч. 2 ст. 87, ч. 1 ст. 89 Закона N 323-ФЗ;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CC6843" w:rsidRPr="00046082" w:rsidRDefault="00046082" w:rsidP="007E564F">
      <w:pPr>
        <w:pStyle w:val="ConsPlusNormal"/>
        <w:contextualSpacing/>
        <w:jc w:val="center"/>
        <w:rPr>
          <w:sz w:val="28"/>
          <w:szCs w:val="28"/>
        </w:rPr>
      </w:pPr>
      <w:r w:rsidRPr="00046082">
        <w:rPr>
          <w:sz w:val="28"/>
          <w:szCs w:val="28"/>
        </w:rPr>
        <w:t xml:space="preserve"> </w:t>
      </w:r>
    </w:p>
    <w:p w:rsidR="00B616D0" w:rsidRPr="00046082" w:rsidRDefault="00B616D0" w:rsidP="00D622DF">
      <w:pPr>
        <w:spacing w:after="0" w:line="240" w:lineRule="auto"/>
        <w:contextualSpacing/>
        <w:jc w:val="center"/>
        <w:rPr>
          <w:rFonts w:ascii="Times New Roman" w:hAnsi="Times New Roman"/>
          <w:sz w:val="28"/>
          <w:szCs w:val="28"/>
        </w:rPr>
      </w:pPr>
    </w:p>
    <w:sectPr w:rsidR="00B616D0" w:rsidRPr="00046082"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6" w15:restartNumberingAfterBreak="0">
    <w:nsid w:val="173623E3"/>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25DF16A6"/>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0" w15:restartNumberingAfterBreak="0">
    <w:nsid w:val="3F6A7931"/>
    <w:multiLevelType w:val="singleLevel"/>
    <w:tmpl w:val="00000000"/>
    <w:lvl w:ilvl="0">
      <w:start w:val="1"/>
      <w:numFmt w:val="decimal"/>
      <w:lvlText w:val="%1)"/>
      <w:lvlJc w:val="left"/>
      <w:pPr>
        <w:tabs>
          <w:tab w:val="num" w:pos="540"/>
        </w:tabs>
        <w:ind w:left="540" w:hanging="300"/>
      </w:pPr>
    </w:lvl>
  </w:abstractNum>
  <w:abstractNum w:abstractNumId="11" w15:restartNumberingAfterBreak="0">
    <w:nsid w:val="41325AAC"/>
    <w:multiLevelType w:val="singleLevel"/>
    <w:tmpl w:val="00000000"/>
    <w:lvl w:ilvl="0">
      <w:start w:val="1"/>
      <w:numFmt w:val="decimal"/>
      <w:lvlText w:val="%1)"/>
      <w:lvlJc w:val="left"/>
      <w:pPr>
        <w:tabs>
          <w:tab w:val="num" w:pos="540"/>
        </w:tabs>
        <w:ind w:left="540" w:hanging="300"/>
      </w:pPr>
    </w:lvl>
  </w:abstractNum>
  <w:abstractNum w:abstractNumId="12"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3"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14" w15:restartNumberingAfterBreak="0">
    <w:nsid w:val="47B6645C"/>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4E416251"/>
    <w:multiLevelType w:val="singleLevel"/>
    <w:tmpl w:val="00000000"/>
    <w:lvl w:ilvl="0">
      <w:start w:val="1"/>
      <w:numFmt w:val="decimal"/>
      <w:lvlText w:val="%1)"/>
      <w:lvlJc w:val="left"/>
      <w:pPr>
        <w:tabs>
          <w:tab w:val="num" w:pos="540"/>
        </w:tabs>
        <w:ind w:left="540" w:hanging="300"/>
      </w:pPr>
    </w:lvl>
  </w:abstractNum>
  <w:abstractNum w:abstractNumId="17" w15:restartNumberingAfterBreak="0">
    <w:nsid w:val="51600688"/>
    <w:multiLevelType w:val="singleLevel"/>
    <w:tmpl w:val="00000000"/>
    <w:lvl w:ilvl="0">
      <w:start w:val="1"/>
      <w:numFmt w:val="decimal"/>
      <w:lvlText w:val="%1)"/>
      <w:lvlJc w:val="left"/>
      <w:pPr>
        <w:tabs>
          <w:tab w:val="num" w:pos="540"/>
        </w:tabs>
        <w:ind w:left="540" w:hanging="300"/>
      </w:pPr>
    </w:lvl>
  </w:abstractNum>
  <w:abstractNum w:abstractNumId="18" w15:restartNumberingAfterBreak="0">
    <w:nsid w:val="550F717A"/>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56D45623"/>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62701F59"/>
    <w:multiLevelType w:val="singleLevel"/>
    <w:tmpl w:val="00000000"/>
    <w:lvl w:ilvl="0">
      <w:start w:val="1"/>
      <w:numFmt w:val="decimal"/>
      <w:lvlText w:val="%1)"/>
      <w:lvlJc w:val="left"/>
      <w:pPr>
        <w:tabs>
          <w:tab w:val="num" w:pos="540"/>
        </w:tabs>
        <w:ind w:left="540" w:hanging="300"/>
      </w:pPr>
    </w:lvl>
  </w:abstractNum>
  <w:abstractNum w:abstractNumId="22" w15:restartNumberingAfterBreak="0">
    <w:nsid w:val="65DE376B"/>
    <w:multiLevelType w:val="singleLevel"/>
    <w:tmpl w:val="00000000"/>
    <w:lvl w:ilvl="0">
      <w:start w:val="1"/>
      <w:numFmt w:val="decimal"/>
      <w:lvlText w:val="%1)"/>
      <w:lvlJc w:val="left"/>
      <w:pPr>
        <w:tabs>
          <w:tab w:val="num" w:pos="540"/>
        </w:tabs>
        <w:ind w:left="540" w:hanging="300"/>
      </w:pPr>
    </w:lvl>
  </w:abstractNum>
  <w:abstractNum w:abstractNumId="23"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78354B12"/>
    <w:multiLevelType w:val="singleLevel"/>
    <w:tmpl w:val="00000000"/>
    <w:lvl w:ilvl="0">
      <w:start w:val="1"/>
      <w:numFmt w:val="decimal"/>
      <w:lvlText w:val="%1)"/>
      <w:lvlJc w:val="left"/>
      <w:pPr>
        <w:tabs>
          <w:tab w:val="num" w:pos="540"/>
        </w:tabs>
        <w:ind w:left="540" w:hanging="300"/>
      </w:pPr>
    </w:lvl>
  </w:abstractNum>
  <w:abstractNum w:abstractNumId="25"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45"/>
    <w:rsid w:val="000004B5"/>
    <w:rsid w:val="00020039"/>
    <w:rsid w:val="00046082"/>
    <w:rsid w:val="0007604B"/>
    <w:rsid w:val="00096DA6"/>
    <w:rsid w:val="000C48B1"/>
    <w:rsid w:val="000F4F14"/>
    <w:rsid w:val="0010355A"/>
    <w:rsid w:val="00136B5B"/>
    <w:rsid w:val="00167A2A"/>
    <w:rsid w:val="001B6C17"/>
    <w:rsid w:val="001C731F"/>
    <w:rsid w:val="002063F5"/>
    <w:rsid w:val="00206C05"/>
    <w:rsid w:val="002142A7"/>
    <w:rsid w:val="0022462F"/>
    <w:rsid w:val="0022769B"/>
    <w:rsid w:val="0023059F"/>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7BE8"/>
    <w:rsid w:val="004E45B6"/>
    <w:rsid w:val="005802A9"/>
    <w:rsid w:val="00597729"/>
    <w:rsid w:val="005A42D2"/>
    <w:rsid w:val="005A4E2C"/>
    <w:rsid w:val="005F6032"/>
    <w:rsid w:val="00611BC7"/>
    <w:rsid w:val="00622FA0"/>
    <w:rsid w:val="0062515E"/>
    <w:rsid w:val="006810A2"/>
    <w:rsid w:val="006C6223"/>
    <w:rsid w:val="006D281B"/>
    <w:rsid w:val="006E73DB"/>
    <w:rsid w:val="006F3F37"/>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CF174C"/>
    <w:rsid w:val="00D11CD8"/>
    <w:rsid w:val="00D34F92"/>
    <w:rsid w:val="00D40A91"/>
    <w:rsid w:val="00D622DF"/>
    <w:rsid w:val="00D65AAE"/>
    <w:rsid w:val="00D73D59"/>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EF6DC-D3B1-4F3F-B258-7766DB9D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n-m</cp:lastModifiedBy>
  <cp:revision>4</cp:revision>
  <cp:lastPrinted>2024-04-05T08:59:00Z</cp:lastPrinted>
  <dcterms:created xsi:type="dcterms:W3CDTF">2024-04-05T08:59:00Z</dcterms:created>
  <dcterms:modified xsi:type="dcterms:W3CDTF">2024-04-05T09:17:00Z</dcterms:modified>
</cp:coreProperties>
</file>